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 w:lineRule="atLeast"/>
        <w:ind w:left="0" w:right="0" w:firstLine="210"/>
        <w:jc w:val="center"/>
      </w:pPr>
      <w:r>
        <w:rPr>
          <w:rFonts w:ascii="黑体" w:hAnsi="宋体" w:eastAsia="黑体" w:cs="黑体"/>
          <w:i w:val="0"/>
          <w:iCs w:val="0"/>
          <w:caps w:val="0"/>
          <w:color w:val="000000"/>
          <w:spacing w:val="0"/>
          <w:sz w:val="24"/>
          <w:szCs w:val="24"/>
          <w:bdr w:val="none" w:color="auto" w:sz="0" w:space="0"/>
          <w:shd w:val="clear" w:fill="FFFFFF"/>
        </w:rPr>
        <w:t>学校食品安全负责人定期对食堂经营状况综合评价记录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 w:lineRule="atLeast"/>
        <w:ind w:left="0" w:right="0"/>
        <w:jc w:val="both"/>
      </w:pPr>
      <w:r>
        <w:rPr>
          <w:rFonts w:ascii="Helvetica" w:hAnsi="Helvetica" w:eastAsia="Helvetica" w:cs="Helvetica"/>
          <w:i w:val="0"/>
          <w:iCs w:val="0"/>
          <w:caps w:val="0"/>
          <w:color w:val="000000"/>
          <w:spacing w:val="0"/>
          <w:sz w:val="24"/>
          <w:szCs w:val="24"/>
          <w:bdr w:val="none" w:color="auto" w:sz="0" w:space="0"/>
          <w:shd w:val="clear" w:fill="FFFFFF"/>
        </w:rPr>
        <w:t>学 校 名 称：</w:t>
      </w:r>
      <w:r>
        <w:rPr>
          <w:rFonts w:ascii="仿宋_GB2312" w:hAnsi="仿宋_GB2312" w:eastAsia="仿宋_GB2312" w:cs="仿宋_GB2312"/>
          <w:i w:val="0"/>
          <w:iCs w:val="0"/>
          <w:caps w:val="0"/>
          <w:color w:val="000000"/>
          <w:spacing w:val="0"/>
          <w:sz w:val="24"/>
          <w:szCs w:val="24"/>
          <w:bdr w:val="none" w:color="auto" w:sz="0" w:space="0"/>
          <w:shd w:val="clear" w:fill="FFFFFF"/>
        </w:rPr>
        <w:t xml:space="preserve"> </w:t>
      </w:r>
      <w:r>
        <w:rPr>
          <w:rFonts w:hint="eastAsia" w:ascii="仿宋_GB2312" w:hAnsi="仿宋_GB2312" w:eastAsia="仿宋_GB2312" w:cs="仿宋_GB2312"/>
          <w:i w:val="0"/>
          <w:iCs w:val="0"/>
          <w:caps w:val="0"/>
          <w:color w:val="000000"/>
          <w:spacing w:val="0"/>
          <w:sz w:val="24"/>
          <w:szCs w:val="24"/>
          <w:bdr w:val="none" w:color="auto" w:sz="0" w:space="0"/>
          <w:shd w:val="clear" w:fill="FFFFFF"/>
          <w:lang w:val="en-US" w:eastAsia="zh-CN"/>
        </w:rPr>
        <w:t xml:space="preserve">                                                                                   </w:t>
      </w:r>
      <w:bookmarkStart w:id="0" w:name="_GoBack"/>
      <w:bookmarkEnd w:id="0"/>
      <w:r>
        <w:rPr>
          <w:rFonts w:ascii="仿宋_GB2312" w:hAnsi="仿宋_GB2312" w:eastAsia="仿宋_GB2312" w:cs="仿宋_GB2312"/>
          <w:i w:val="0"/>
          <w:iCs w:val="0"/>
          <w:caps w:val="0"/>
          <w:color w:val="000000"/>
          <w:spacing w:val="0"/>
          <w:sz w:val="24"/>
          <w:szCs w:val="24"/>
          <w:bdr w:val="none" w:color="auto" w:sz="0" w:space="0"/>
          <w:shd w:val="clear" w:fill="FFFFFF"/>
        </w:rPr>
        <w:t xml:space="preserve">得分： 　 </w:t>
      </w:r>
    </w:p>
    <w:tbl>
      <w:tblPr>
        <w:tblW w:w="14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045"/>
        <w:gridCol w:w="619"/>
        <w:gridCol w:w="4275"/>
        <w:gridCol w:w="7406"/>
        <w:gridCol w:w="71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b/>
                <w:bCs/>
                <w:sz w:val="21"/>
                <w:szCs w:val="21"/>
                <w:bdr w:val="none" w:color="auto" w:sz="0" w:space="0"/>
              </w:rPr>
              <w:t>检查项目</w:t>
            </w: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b/>
                <w:bCs/>
                <w:sz w:val="21"/>
                <w:szCs w:val="21"/>
                <w:bdr w:val="none" w:color="auto" w:sz="0" w:space="0"/>
              </w:rPr>
              <w:t>分值</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b/>
                <w:bCs/>
                <w:sz w:val="21"/>
                <w:szCs w:val="21"/>
                <w:bdr w:val="none" w:color="auto" w:sz="0" w:space="0"/>
              </w:rPr>
              <w:t>检 查 内 容</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b/>
                <w:bCs/>
                <w:sz w:val="21"/>
                <w:szCs w:val="21"/>
                <w:bdr w:val="none" w:color="auto" w:sz="0" w:space="0"/>
              </w:rPr>
              <w:t>评 分 标 准</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b/>
                <w:bCs/>
                <w:sz w:val="21"/>
                <w:szCs w:val="21"/>
                <w:bdr w:val="none" w:color="auto" w:sz="0" w:space="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监管部门监管责任落实情况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（30分）</w:t>
            </w: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15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是否落实季度检查制度，是否检查到位发现问题，发现的问题是否有针对性</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查看季度检查记录，没有不得分；检查记录发现问题与实际不符酌情扣分，检查流于形式，酌情扣分</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7.5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是否对前期检查提出整改意见，并对落实情况进行再检查</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查看监督检查相关执法文书，未再检查扣3分，相关执法文书，缺一项扣2分，扣完为止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7.5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是否实行餐饮服务食品安全监督量化分级管理制度，且量化等级B级以上</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未评定不得分，B级以下、未公示、资料不全，一项扣2分，扣完为止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9" w:type="dxa"/>
        </w:trPr>
        <w:tc>
          <w:tcPr>
            <w:tcW w:w="1045"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学校主体责任落实情况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（20分）</w:t>
            </w: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是否实行校长负责制，是否建立以校长为学校食品安全第一责任人，分管校长是学校食品安全具体责任人的学校食品安全管理机构</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不以校长为法定代表人(或负责人)，或校长已更换，但许可证未变更，不得分；未建立以校长为学校食品安全第一责任人，分管校长是学校食品安全具体责任人的学校食品安全管理机构，学校、托幼机构无相应文件，不得分</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学校（校区）主要负责人是否亲自参加检查和督查</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学校（校区）主要负责人没定期到食堂进行自查检查，扣3分；学校（校区）主要负责人未参加督查，分管负责人参加扣1分；学校（校区）主要负责人、分管负责人均未参加扣2分</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校务会是否对食品安全问题召开专题会议进行研究，校长是否参加，每学期不少于1次</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查看专题报告、会议记录，不足1次不得分，无专题报告、会议记录，缺一项扣2分，扣完为止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学校（校区）主要负责人是否亲自对学校食堂食品安全情况进行检查，每学期不少于1次</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查看检查记录、整改记录，不足1次不得分，无检查记录、整改记录，缺一项扣2分，扣完为止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9" w:type="dxa"/>
        </w:trPr>
        <w:tc>
          <w:tcPr>
            <w:tcW w:w="1045"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食堂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（55分）</w:t>
            </w: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3</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是否持有效许可证，是否存在超范围经营问题</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无有效许可证（无证或过期）、超范围经营，不得分</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学校食堂内及周边环境是否清洁</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食堂内外环境发现一处不清洁扣0.5分，扣完为止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3</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场所布局是否合理</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发现一处布局流程明显不合理扣1分，扣完为止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设施设备是否齐全可正常使用，有满足需要的清洗、消毒和保洁设施，餐饮具清洗消毒合格</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发现一必配设施设备未配备，或不能正常使用，一项扣0.5分，扣完为止，清洗消毒不合格，酌情扣分，最多扣3分</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是否严格落实食品、食品原料及食品相关产品的索证索票和进货查验制度</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抽查三种产品索证索票资料和进货查验记录，未建立索证索票和进货查验制度，不得分，索证索票资料和进货查验记录，缺少一种资料或进货查验记录扣1分，一种资料不合要求，扣1分，扣完为止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8</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是否按照《餐饮服务食品安全操作规范》的要求加工制作食品</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现场检查厨房，发现一处明显不符合操作规范事项，扣1分，扣完8分为止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3</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从业人员是否持有效健康证明，每学期培训一次以上</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现场抽查6名从业人员，每发现一人无有效健康证明，或无培训记录、试卷，一项扣0.5分，扣完为止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2</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是否有专职食品管理员，并持有效健康证和培训证</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查看专职食品安全管理员任命文件、健康证和培训证。少一项不得分</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3</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食品添加剂是否实行了“五专两公开”，是否有禁用物质</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有禁用添加剂或非法添加物，扣1分，“五专两公开”，缺一项扣0.5分，扣完为止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2</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是否有过期食品、“三无”食品</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发现过期食品、“三无”食品一项，扣0.5分，扣完为止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4</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是否按照规范要求进行食品留样，做好留样记录</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未留样，不得分；未按照要求进行留样、记录，酌情扣分，扣完为止</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2</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严禁储存、使用亚硝酸盐等非食用物质加工食品</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发现采购使用亚硝酸盐等非食用物质，不得分</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是否制定实际有效的食品安全突发事件应急处置预案并熟悉处置过程</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未制定应急处置预案扣3分，应急预案流于形式；明显不符合实际情况扣2分；相关负责人及管理人员不熟悉处置过程扣2分。</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9" w:type="dxa"/>
        </w:trPr>
        <w:tc>
          <w:tcPr>
            <w:tcW w:w="1045" w:type="dxa"/>
            <w:vMerge w:val="continue"/>
            <w:shd w:val="clear"/>
            <w:tcMar>
              <w:top w:w="30" w:type="dxa"/>
              <w:left w:w="75" w:type="dxa"/>
              <w:bottom w:w="30" w:type="dxa"/>
              <w:right w:w="75" w:type="dxa"/>
            </w:tcMar>
            <w:vAlign w:val="top"/>
          </w:tcPr>
          <w:p>
            <w:pPr>
              <w:rPr>
                <w:rFonts w:hint="eastAsia" w:ascii="宋体"/>
                <w:sz w:val="24"/>
                <w:szCs w:val="24"/>
              </w:rPr>
            </w:pPr>
          </w:p>
        </w:tc>
        <w:tc>
          <w:tcPr>
            <w:tcW w:w="619"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5</w:t>
            </w:r>
          </w:p>
        </w:tc>
        <w:tc>
          <w:tcPr>
            <w:tcW w:w="427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设立食品安全检验室，采用HACCP等食品安全管理体系（加分项）</w:t>
            </w:r>
          </w:p>
        </w:tc>
        <w:tc>
          <w:tcPr>
            <w:tcW w:w="7406"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设立食品安全检验室，或采用HACCP等食品安全管理体系，一项加2.5分</w:t>
            </w:r>
          </w:p>
        </w:tc>
        <w:tc>
          <w:tcPr>
            <w:tcW w:w="71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4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存在问题</w:t>
            </w:r>
          </w:p>
        </w:tc>
        <w:tc>
          <w:tcPr>
            <w:tcW w:w="13031" w:type="dxa"/>
            <w:gridSpan w:val="5"/>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left"/>
      </w:pPr>
      <w:r>
        <w:rPr>
          <w:rFonts w:ascii="黑体" w:hAnsi="宋体" w:eastAsia="黑体" w:cs="黑体"/>
          <w:i w:val="0"/>
          <w:iCs w:val="0"/>
          <w:caps w:val="0"/>
          <w:color w:val="000000"/>
          <w:spacing w:val="0"/>
          <w:sz w:val="24"/>
          <w:szCs w:val="24"/>
          <w:bdr w:val="none" w:color="auto" w:sz="0" w:space="0"/>
          <w:shd w:val="clear" w:fill="FFFFFF"/>
        </w:rPr>
        <w:t xml:space="preserve">检查组长签字： </w:t>
      </w:r>
      <w:r>
        <w:rPr>
          <w:rFonts w:hint="eastAsia" w:ascii="黑体" w:hAnsi="宋体" w:eastAsia="黑体" w:cs="黑体"/>
          <w:i w:val="0"/>
          <w:iCs w:val="0"/>
          <w:caps w:val="0"/>
          <w:color w:val="000000"/>
          <w:spacing w:val="0"/>
          <w:sz w:val="24"/>
          <w:szCs w:val="24"/>
          <w:bdr w:val="none" w:color="auto" w:sz="0" w:space="0"/>
          <w:shd w:val="clear" w:fill="FFFFFF"/>
          <w:lang w:val="en-US" w:eastAsia="zh-CN"/>
        </w:rPr>
        <w:t xml:space="preserve">                                                                             </w:t>
      </w:r>
      <w:r>
        <w:rPr>
          <w:rFonts w:ascii="黑体" w:hAnsi="宋体" w:eastAsia="黑体" w:cs="黑体"/>
          <w:i w:val="0"/>
          <w:iCs w:val="0"/>
          <w:caps w:val="0"/>
          <w:color w:val="000000"/>
          <w:spacing w:val="0"/>
          <w:sz w:val="24"/>
          <w:szCs w:val="24"/>
          <w:bdr w:val="none" w:color="auto" w:sz="0" w:space="0"/>
          <w:shd w:val="clear" w:fill="FFFFFF"/>
        </w:rPr>
        <w:t xml:space="preserve">食堂负责人签字：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left"/>
      </w:pPr>
      <w:r>
        <w:rPr>
          <w:rFonts w:ascii="黑体" w:hAnsi="宋体" w:eastAsia="黑体" w:cs="黑体"/>
          <w:i w:val="0"/>
          <w:iCs w:val="0"/>
          <w:caps w:val="0"/>
          <w:color w:val="000000"/>
          <w:spacing w:val="0"/>
          <w:sz w:val="24"/>
          <w:szCs w:val="24"/>
          <w:bdr w:val="none" w:color="auto" w:sz="0" w:space="0"/>
          <w:shd w:val="clear" w:fill="FFFFFF"/>
        </w:rPr>
        <w:t xml:space="preserve">组员签字： </w:t>
      </w:r>
      <w:r>
        <w:rPr>
          <w:rFonts w:hint="eastAsia" w:ascii="黑体" w:hAnsi="宋体" w:eastAsia="黑体" w:cs="黑体"/>
          <w:i w:val="0"/>
          <w:iCs w:val="0"/>
          <w:caps w:val="0"/>
          <w:color w:val="000000"/>
          <w:spacing w:val="0"/>
          <w:sz w:val="24"/>
          <w:szCs w:val="24"/>
          <w:bdr w:val="none" w:color="auto" w:sz="0" w:space="0"/>
          <w:shd w:val="clear" w:fill="FFFFFF"/>
          <w:lang w:val="en-US" w:eastAsia="zh-CN"/>
        </w:rPr>
        <w:t xml:space="preserve">                                                                                          </w:t>
      </w:r>
      <w:r>
        <w:rPr>
          <w:rFonts w:ascii="黑体" w:hAnsi="宋体" w:eastAsia="黑体" w:cs="黑体"/>
          <w:i w:val="0"/>
          <w:iCs w:val="0"/>
          <w:caps w:val="0"/>
          <w:color w:val="000000"/>
          <w:spacing w:val="0"/>
          <w:sz w:val="24"/>
          <w:szCs w:val="24"/>
          <w:bdr w:val="none" w:color="auto" w:sz="0" w:space="0"/>
          <w:shd w:val="clear" w:fill="FFFFFF"/>
        </w:rPr>
        <w:t xml:space="preserve">时 间：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PingFang-SC-Regula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jllMzFmMmY0YzFmZTFmZWYxYTRhZTIwMGEzNDQifQ=="/>
  </w:docVars>
  <w:rsids>
    <w:rsidRoot w:val="38717353"/>
    <w:rsid w:val="3871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2023-11-01T11:17:00Z</dcterms:created>
  <dc:creator>A 小芳（299送138）</dc:creator>
  <cp:lastModifiedBy>A 小芳（299送138）</cp:lastModifiedBy>
  <dcterms:modified xsi:type="dcterms:W3CDTF">2023-11-01T11:20:53Z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0FEEFEBA9F9548F483D242165A84536E_11</vt:lpwstr>
  </property>
</Properties>
</file>